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8A" w:rsidRPr="00395356" w:rsidRDefault="00547A8A" w:rsidP="0054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356">
        <w:rPr>
          <w:rFonts w:ascii="Times New Roman" w:hAnsi="Times New Roman" w:cs="Times New Roman"/>
          <w:b/>
          <w:bCs/>
          <w:sz w:val="24"/>
          <w:szCs w:val="24"/>
        </w:rPr>
        <w:t>ДОГОВОР№ ___________</w:t>
      </w:r>
    </w:p>
    <w:p w:rsidR="00547A8A" w:rsidRPr="00395356" w:rsidRDefault="00547A8A" w:rsidP="0054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356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547A8A" w:rsidRDefault="00547A8A" w:rsidP="0054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356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водоотведения</w:t>
      </w:r>
    </w:p>
    <w:p w:rsidR="00BB0473" w:rsidRDefault="00BB0473">
      <w:pPr>
        <w:pStyle w:val="ConsPlusTitle"/>
        <w:jc w:val="center"/>
      </w:pPr>
    </w:p>
    <w:p w:rsidR="00BB0473" w:rsidRDefault="00BB0473">
      <w:pPr>
        <w:pStyle w:val="ConsPlusNormal"/>
        <w:jc w:val="center"/>
        <w:outlineLvl w:val="0"/>
      </w:pPr>
    </w:p>
    <w:p w:rsidR="00547A8A" w:rsidRDefault="00547A8A" w:rsidP="00547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78">
        <w:rPr>
          <w:rFonts w:ascii="Times New Roman" w:hAnsi="Times New Roman" w:cs="Times New Roman"/>
          <w:sz w:val="24"/>
          <w:szCs w:val="24"/>
        </w:rPr>
        <w:t>город    Северодвинск</w:t>
      </w:r>
      <w:r w:rsidRPr="00484F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356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47A8A" w:rsidRPr="00484F78" w:rsidRDefault="00547A8A" w:rsidP="00547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A8A" w:rsidRPr="00395356" w:rsidRDefault="00547A8A" w:rsidP="00547A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56">
        <w:rPr>
          <w:rFonts w:ascii="Times New Roman" w:hAnsi="Times New Roman" w:cs="Times New Roman"/>
          <w:sz w:val="24"/>
          <w:szCs w:val="24"/>
        </w:rPr>
        <w:t xml:space="preserve">АО «ПО «Севмаш» цех № 19, именуемое в дальнейшем гарантирующей организацией, в лице начальника цеха № 19 </w:t>
      </w:r>
      <w:r>
        <w:rPr>
          <w:rFonts w:ascii="Times New Roman" w:hAnsi="Times New Roman" w:cs="Times New Roman"/>
          <w:sz w:val="24"/>
          <w:szCs w:val="24"/>
        </w:rPr>
        <w:t>Кудряшова Александра Анатольевича</w:t>
      </w:r>
      <w:r w:rsidRPr="00484F7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92500D">
        <w:rPr>
          <w:rFonts w:ascii="Times New Roman" w:hAnsi="Times New Roman" w:cs="Times New Roman"/>
          <w:sz w:val="24"/>
          <w:szCs w:val="24"/>
        </w:rPr>
        <w:t>28</w:t>
      </w:r>
      <w:r w:rsidRPr="00484F78">
        <w:rPr>
          <w:rFonts w:ascii="Times New Roman" w:hAnsi="Times New Roman" w:cs="Times New Roman"/>
          <w:sz w:val="24"/>
          <w:szCs w:val="24"/>
        </w:rPr>
        <w:t>.12.201</w:t>
      </w:r>
      <w:r w:rsidR="0092500D">
        <w:rPr>
          <w:rFonts w:ascii="Times New Roman" w:hAnsi="Times New Roman" w:cs="Times New Roman"/>
          <w:sz w:val="24"/>
          <w:szCs w:val="24"/>
        </w:rPr>
        <w:t>6</w:t>
      </w:r>
      <w:r w:rsidRPr="00484F78">
        <w:rPr>
          <w:rFonts w:ascii="Times New Roman" w:hAnsi="Times New Roman" w:cs="Times New Roman"/>
          <w:sz w:val="24"/>
          <w:szCs w:val="24"/>
        </w:rPr>
        <w:t xml:space="preserve">г № </w:t>
      </w:r>
      <w:r w:rsidR="0092500D">
        <w:rPr>
          <w:rFonts w:ascii="Times New Roman" w:hAnsi="Times New Roman" w:cs="Times New Roman"/>
          <w:sz w:val="24"/>
          <w:szCs w:val="24"/>
        </w:rPr>
        <w:t>59</w:t>
      </w:r>
      <w:r w:rsidRPr="00484F78"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с одной стороны, и 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</w:t>
      </w:r>
      <w:proofErr w:type="gramStart"/>
      <w:r w:rsidRPr="00395356">
        <w:rPr>
          <w:rFonts w:ascii="Times New Roman" w:hAnsi="Times New Roman" w:cs="Times New Roman"/>
          <w:sz w:val="24"/>
          <w:szCs w:val="24"/>
        </w:rPr>
        <w:t>сторонами</w:t>
      </w:r>
      <w:r w:rsidR="00825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BB0473" w:rsidRDefault="00BB0473">
      <w:pPr>
        <w:pStyle w:val="ConsPlusNormal"/>
        <w:ind w:firstLine="540"/>
        <w:jc w:val="both"/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B0473" w:rsidRPr="00547A8A" w:rsidRDefault="00BB0473" w:rsidP="00846F4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 w:rsidP="00846F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1. </w:t>
      </w:r>
      <w:r w:rsidR="0092500D">
        <w:rPr>
          <w:rFonts w:ascii="Times New Roman" w:hAnsi="Times New Roman" w:cs="Times New Roman"/>
          <w:sz w:val="24"/>
          <w:szCs w:val="24"/>
        </w:rPr>
        <w:t>Гарантирующая организация</w:t>
      </w:r>
      <w:r w:rsidRPr="00547A8A">
        <w:rPr>
          <w:rFonts w:ascii="Times New Roman" w:hAnsi="Times New Roman" w:cs="Times New Roman"/>
          <w:sz w:val="24"/>
          <w:szCs w:val="24"/>
        </w:rPr>
        <w:t xml:space="preserve">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190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BB0473" w:rsidRPr="00547A8A" w:rsidRDefault="00BB0473" w:rsidP="00141A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2. </w:t>
      </w:r>
      <w:r w:rsidR="00846F47">
        <w:rPr>
          <w:rFonts w:ascii="Times New Roman" w:hAnsi="Times New Roman" w:cs="Times New Roman"/>
          <w:sz w:val="24"/>
          <w:szCs w:val="24"/>
        </w:rPr>
        <w:t>Гарантирующая организация</w:t>
      </w:r>
      <w:r w:rsidRPr="00547A8A">
        <w:rPr>
          <w:rFonts w:ascii="Times New Roman" w:hAnsi="Times New Roman" w:cs="Times New Roman"/>
          <w:sz w:val="24"/>
          <w:szCs w:val="24"/>
        </w:rPr>
        <w:t xml:space="preserve"> до точки</w:t>
      </w:r>
      <w:r w:rsidR="00846F47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 w:rsidR="00846F47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III. Характеристики подключаемого объекта и мероприятия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_____________________________________________________</w:t>
      </w:r>
      <w:r w:rsidR="00141A2D">
        <w:rPr>
          <w:rFonts w:ascii="Times New Roman" w:hAnsi="Times New Roman" w:cs="Times New Roman"/>
          <w:sz w:val="24"/>
          <w:szCs w:val="24"/>
        </w:rPr>
        <w:t>_______</w:t>
      </w:r>
      <w:r w:rsidRPr="00547A8A">
        <w:rPr>
          <w:rFonts w:ascii="Times New Roman" w:hAnsi="Times New Roman" w:cs="Times New Roman"/>
          <w:sz w:val="24"/>
          <w:szCs w:val="24"/>
        </w:rPr>
        <w:t>_____,</w:t>
      </w:r>
    </w:p>
    <w:p w:rsidR="00BB0473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(объект капитального строительства, на котором предусматривается водоотведение, объект системы водоотведения - указать нужное)</w:t>
      </w:r>
    </w:p>
    <w:p w:rsidR="00BB0473" w:rsidRPr="00547A8A" w:rsidRDefault="00141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 на земельном участке, </w:t>
      </w:r>
      <w:r w:rsidR="00BB0473" w:rsidRPr="00547A8A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(собственность, аренда, пользование и др. - указать нужное)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и реквизиты правоустанавливающего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(целевое назначение объекта)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-  земельный  участок,  на  котором  планируется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(строительство, реконструкция, модернизация - указать нужное)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подключаемого объекта, площадью __________</w:t>
      </w:r>
      <w:r w:rsidR="00141A2D">
        <w:rPr>
          <w:rFonts w:ascii="Times New Roman" w:hAnsi="Times New Roman" w:cs="Times New Roman"/>
          <w:sz w:val="24"/>
          <w:szCs w:val="24"/>
        </w:rPr>
        <w:t>____________________________</w:t>
      </w:r>
      <w:r w:rsidRPr="00547A8A">
        <w:rPr>
          <w:rFonts w:ascii="Times New Roman" w:hAnsi="Times New Roman" w:cs="Times New Roman"/>
          <w:sz w:val="24"/>
          <w:szCs w:val="24"/>
        </w:rPr>
        <w:t>кв. метров, расположенный по адресу: 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(собственность, пользование -  указать нужное)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и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реквизиты</w:t>
      </w:r>
      <w:r w:rsidR="00141A2D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 xml:space="preserve"> правоустанавливающего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(указать наименование и реквизиты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правоустанавливающего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(указать разрешенное использование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  земельного участка)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547A8A">
        <w:rPr>
          <w:rFonts w:ascii="Times New Roman" w:hAnsi="Times New Roman" w:cs="Times New Roman"/>
          <w:sz w:val="24"/>
          <w:szCs w:val="24"/>
        </w:rPr>
        <w:t xml:space="preserve">7. Потребности объекта - размер нагрузки объекта, который обязана обеспечить </w:t>
      </w:r>
      <w:r w:rsidR="00141A2D">
        <w:rPr>
          <w:rFonts w:ascii="Times New Roman" w:hAnsi="Times New Roman" w:cs="Times New Roman"/>
          <w:sz w:val="24"/>
          <w:szCs w:val="24"/>
        </w:rPr>
        <w:t xml:space="preserve">гарантирующая </w:t>
      </w:r>
      <w:r w:rsidRPr="00547A8A">
        <w:rPr>
          <w:rFonts w:ascii="Times New Roman" w:hAnsi="Times New Roman" w:cs="Times New Roman"/>
          <w:sz w:val="24"/>
          <w:szCs w:val="24"/>
        </w:rPr>
        <w:t>организация в точках подключения (технологического присоединения), составляет _______ м</w:t>
      </w:r>
      <w:r w:rsidRPr="00547A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7A8A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40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547A8A">
        <w:rPr>
          <w:rFonts w:ascii="Times New Roman" w:hAnsi="Times New Roman" w:cs="Times New Roman"/>
          <w:sz w:val="24"/>
          <w:szCs w:val="24"/>
        </w:rPr>
        <w:t>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объектов, в том числе канализационных сетей заказчика, к централизованной системе водоотведения </w:t>
      </w:r>
      <w:r w:rsidR="001904F6">
        <w:rPr>
          <w:rFonts w:ascii="Times New Roman" w:hAnsi="Times New Roman" w:cs="Times New Roman"/>
          <w:sz w:val="24"/>
          <w:szCs w:val="24"/>
        </w:rPr>
        <w:t>гарантирующей</w:t>
      </w:r>
      <w:r w:rsidR="001904F6" w:rsidRP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осуществляется на основании заявки заказчика.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10. </w:t>
      </w:r>
      <w:r w:rsidR="00141A2D">
        <w:rPr>
          <w:rFonts w:ascii="Times New Roman" w:hAnsi="Times New Roman" w:cs="Times New Roman"/>
          <w:sz w:val="24"/>
          <w:szCs w:val="24"/>
        </w:rPr>
        <w:t>Гарантирующая о</w:t>
      </w:r>
      <w:r w:rsidRPr="00547A8A">
        <w:rPr>
          <w:rFonts w:ascii="Times New Roman" w:hAnsi="Times New Roman" w:cs="Times New Roman"/>
          <w:sz w:val="24"/>
          <w:szCs w:val="24"/>
        </w:rPr>
        <w:t>рганизация обязана: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</w:t>
      </w:r>
      <w:r w:rsidRPr="00547A8A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 даты получения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282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(далее - акт о готовности);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11. </w:t>
      </w:r>
      <w:r w:rsidR="00416213">
        <w:rPr>
          <w:rFonts w:ascii="Times New Roman" w:hAnsi="Times New Roman" w:cs="Times New Roman"/>
          <w:sz w:val="24"/>
          <w:szCs w:val="24"/>
        </w:rPr>
        <w:t>Гарантирующая о</w:t>
      </w:r>
      <w:r w:rsidRPr="00547A8A">
        <w:rPr>
          <w:rFonts w:ascii="Times New Roman" w:hAnsi="Times New Roman" w:cs="Times New Roman"/>
          <w:sz w:val="24"/>
          <w:szCs w:val="24"/>
        </w:rPr>
        <w:t>рганизация имеет право: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</w:t>
      </w:r>
      <w:r w:rsidR="00416213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в установленные настоящим договором сроки возможность осуществить: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</w:t>
      </w:r>
      <w:r w:rsidR="001904F6">
        <w:rPr>
          <w:rFonts w:ascii="Times New Roman" w:hAnsi="Times New Roman" w:cs="Times New Roman"/>
          <w:sz w:val="24"/>
          <w:szCs w:val="24"/>
        </w:rPr>
        <w:t>гарантирующей</w:t>
      </w:r>
      <w:r w:rsidR="001904F6" w:rsidRP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соответствующее уведомление до "__" ___________ 20__ г. и подписать акт о готовности;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в) представить </w:t>
      </w:r>
      <w:r w:rsidR="001904F6">
        <w:rPr>
          <w:rFonts w:ascii="Times New Roman" w:hAnsi="Times New Roman" w:cs="Times New Roman"/>
          <w:sz w:val="24"/>
          <w:szCs w:val="24"/>
        </w:rPr>
        <w:t>гарантирующей</w:t>
      </w:r>
      <w:r w:rsidR="001904F6" w:rsidRP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77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5 дней с даты внесения указанных изменений направить </w:t>
      </w:r>
      <w:r w:rsidR="001904F6">
        <w:rPr>
          <w:rFonts w:ascii="Times New Roman" w:hAnsi="Times New Roman" w:cs="Times New Roman"/>
          <w:sz w:val="24"/>
          <w:szCs w:val="24"/>
        </w:rPr>
        <w:t>гарантирующей</w:t>
      </w:r>
      <w:r w:rsidR="001904F6" w:rsidRP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д) обеспечить доступ </w:t>
      </w:r>
      <w:r w:rsidR="00416213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б) в одностороннем порядке расторгнуть настоящий договор при нарушении </w:t>
      </w:r>
      <w:r w:rsidR="00416213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547A8A">
        <w:rPr>
          <w:rFonts w:ascii="Times New Roman" w:hAnsi="Times New Roman" w:cs="Times New Roman"/>
          <w:sz w:val="24"/>
          <w:szCs w:val="24"/>
        </w:rPr>
        <w:t>организацией сроков исполнения обязательств, указанных в настоящем договоре.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 xml:space="preserve">14. Заказчик и </w:t>
      </w:r>
      <w:r w:rsidR="00416213">
        <w:rPr>
          <w:rFonts w:ascii="Times New Roman" w:hAnsi="Times New Roman" w:cs="Times New Roman"/>
          <w:sz w:val="24"/>
          <w:szCs w:val="24"/>
        </w:rPr>
        <w:t xml:space="preserve">гарантирующая </w:t>
      </w:r>
      <w:r w:rsidRPr="00547A8A">
        <w:rPr>
          <w:rFonts w:ascii="Times New Roman" w:hAnsi="Times New Roman" w:cs="Times New Roman"/>
          <w:sz w:val="24"/>
          <w:szCs w:val="24"/>
        </w:rPr>
        <w:t>организация имеют иные права и несут иные обязанности, предусмотренные законодательством Российской Федерации.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547A8A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33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547A8A">
        <w:rPr>
          <w:rFonts w:ascii="Times New Roman" w:hAnsi="Times New Roman" w:cs="Times New Roman"/>
          <w:sz w:val="24"/>
          <w:szCs w:val="24"/>
        </w:rPr>
        <w:t>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547A8A">
        <w:rPr>
          <w:rFonts w:ascii="Times New Roman" w:hAnsi="Times New Roman" w:cs="Times New Roman"/>
          <w:sz w:val="24"/>
          <w:szCs w:val="24"/>
        </w:rPr>
        <w:t xml:space="preserve">16. Заказчик обязан внести плату в размере, предусмотренном </w:t>
      </w:r>
      <w:hyperlink w:anchor="P333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</w:t>
      </w:r>
      <w:r w:rsidR="00416213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в следующем порядке: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96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547A8A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 и </w:t>
      </w:r>
      <w:r w:rsidR="00416213">
        <w:rPr>
          <w:rFonts w:ascii="Times New Roman" w:hAnsi="Times New Roman" w:cs="Times New Roman"/>
          <w:sz w:val="24"/>
          <w:szCs w:val="24"/>
        </w:rPr>
        <w:t xml:space="preserve">гарантирующая </w:t>
      </w:r>
      <w:r w:rsidRPr="00547A8A">
        <w:rPr>
          <w:rFonts w:ascii="Times New Roman" w:hAnsi="Times New Roman" w:cs="Times New Roman"/>
          <w:sz w:val="24"/>
          <w:szCs w:val="24"/>
        </w:rPr>
        <w:t>организация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108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</w:t>
      </w:r>
      <w:r w:rsidR="00416213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547A8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B0473" w:rsidRPr="00547A8A" w:rsidRDefault="00BB0473" w:rsidP="004162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18. Плата за работы по присоединению внутриплощадочных и (или)</w:t>
      </w:r>
      <w:r w:rsidR="00416213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 xml:space="preserve">внутридомовых сетей объекта в точке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подключения  (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416213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 xml:space="preserve">присоединения) к централизованной системе водоотведения </w:t>
      </w:r>
      <w:r w:rsidR="001904F6">
        <w:rPr>
          <w:rFonts w:ascii="Times New Roman" w:hAnsi="Times New Roman" w:cs="Times New Roman"/>
          <w:sz w:val="24"/>
          <w:szCs w:val="24"/>
        </w:rPr>
        <w:t>гарантирующей</w:t>
      </w:r>
      <w:r w:rsidR="001904F6" w:rsidRP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организации</w:t>
      </w:r>
      <w:r w:rsidR="00416213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в состав платы за подключение</w:t>
      </w:r>
      <w:r w:rsidR="00416213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(технологическое присоединение) включена ________________________________</w:t>
      </w:r>
      <w:r w:rsidR="0041621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47A8A">
        <w:rPr>
          <w:rFonts w:ascii="Times New Roman" w:hAnsi="Times New Roman" w:cs="Times New Roman"/>
          <w:sz w:val="24"/>
          <w:szCs w:val="24"/>
        </w:rPr>
        <w:t>_.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     (да, нет - указать нужное)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VI. Порядок исполнения договора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20. </w:t>
      </w:r>
      <w:r w:rsidR="00416213">
        <w:rPr>
          <w:rFonts w:ascii="Times New Roman" w:hAnsi="Times New Roman" w:cs="Times New Roman"/>
          <w:sz w:val="24"/>
          <w:szCs w:val="24"/>
        </w:rPr>
        <w:t>Гарантирующая о</w:t>
      </w:r>
      <w:r w:rsidRPr="00547A8A">
        <w:rPr>
          <w:rFonts w:ascii="Times New Roman" w:hAnsi="Times New Roman" w:cs="Times New Roman"/>
          <w:sz w:val="24"/>
          <w:szCs w:val="24"/>
        </w:rPr>
        <w:t xml:space="preserve">рганизация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08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462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547A8A">
        <w:rPr>
          <w:rFonts w:ascii="Times New Roman" w:hAnsi="Times New Roman" w:cs="Times New Roman"/>
          <w:sz w:val="24"/>
          <w:szCs w:val="24"/>
        </w:rPr>
        <w:t>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22. 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 w:rsidR="00416213">
        <w:rPr>
          <w:rFonts w:ascii="Times New Roman" w:hAnsi="Times New Roman" w:cs="Times New Roman"/>
          <w:sz w:val="24"/>
          <w:szCs w:val="24"/>
        </w:rPr>
        <w:t>30</w:t>
      </w:r>
      <w:r w:rsidRPr="00547A8A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23. Водоотведение в соответствии с условиями подключения (технологического присоединения) осуществляется </w:t>
      </w:r>
      <w:r w:rsidR="00416213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547A8A">
        <w:rPr>
          <w:rFonts w:ascii="Times New Roman" w:hAnsi="Times New Roman" w:cs="Times New Roman"/>
          <w:sz w:val="24"/>
          <w:szCs w:val="24"/>
        </w:rPr>
        <w:t>организацией при выполнении заказчиком следующих условий: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в) заключение </w:t>
      </w:r>
      <w:r w:rsidR="00416213">
        <w:rPr>
          <w:rFonts w:ascii="Times New Roman" w:hAnsi="Times New Roman" w:cs="Times New Roman"/>
          <w:sz w:val="24"/>
          <w:szCs w:val="24"/>
        </w:rPr>
        <w:t>гаранти</w:t>
      </w:r>
      <w:r w:rsidR="0009727F">
        <w:rPr>
          <w:rFonts w:ascii="Times New Roman" w:hAnsi="Times New Roman" w:cs="Times New Roman"/>
          <w:sz w:val="24"/>
          <w:szCs w:val="24"/>
        </w:rPr>
        <w:t xml:space="preserve">рующей </w:t>
      </w:r>
      <w:r w:rsidRPr="00547A8A">
        <w:rPr>
          <w:rFonts w:ascii="Times New Roman" w:hAnsi="Times New Roman" w:cs="Times New Roman"/>
          <w:sz w:val="24"/>
          <w:szCs w:val="24"/>
        </w:rPr>
        <w:t>организацией и заказчиком договора водоотведения или единого договора холодного водоснабжения и водоотведения.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</w:t>
      </w:r>
      <w:r w:rsidR="008C2A62">
        <w:rPr>
          <w:rFonts w:ascii="Times New Roman" w:hAnsi="Times New Roman" w:cs="Times New Roman"/>
          <w:sz w:val="24"/>
          <w:szCs w:val="24"/>
        </w:rPr>
        <w:t xml:space="preserve">гарантирующая </w:t>
      </w:r>
      <w:r w:rsidRPr="00547A8A">
        <w:rPr>
          <w:rFonts w:ascii="Times New Roman" w:hAnsi="Times New Roman" w:cs="Times New Roman"/>
          <w:sz w:val="24"/>
          <w:szCs w:val="24"/>
        </w:rPr>
        <w:t xml:space="preserve">организация вправе потребовать от заказчика уплаты пени в размере одной </w:t>
      </w:r>
      <w:r w:rsidR="0009727F" w:rsidRPr="00547A8A">
        <w:rPr>
          <w:rFonts w:ascii="Times New Roman" w:hAnsi="Times New Roman" w:cs="Times New Roman"/>
          <w:sz w:val="24"/>
          <w:szCs w:val="24"/>
        </w:rPr>
        <w:t>сто тридцатой</w:t>
      </w:r>
      <w:r w:rsidRPr="00547A8A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547A8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547A8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B0473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Pr="00547A8A" w:rsidRDefault="00825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VIII. Порядок урегулирования споров и разногласий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32. В случае не</w:t>
      </w:r>
      <w:r w:rsid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</w:t>
      </w:r>
      <w:r w:rsidR="001904F6">
        <w:rPr>
          <w:rFonts w:ascii="Times New Roman" w:hAnsi="Times New Roman" w:cs="Times New Roman"/>
          <w:sz w:val="24"/>
          <w:szCs w:val="24"/>
        </w:rPr>
        <w:t>гарантирующей</w:t>
      </w:r>
      <w:r w:rsidR="001904F6" w:rsidRP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организацией соответствующего заявления заказчика исходя из технических возможностей подключения (технологического присоединения).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б) по инициативе заказчика путем письменного уведомления </w:t>
      </w:r>
      <w:r w:rsidR="001904F6">
        <w:rPr>
          <w:rFonts w:ascii="Times New Roman" w:hAnsi="Times New Roman" w:cs="Times New Roman"/>
          <w:sz w:val="24"/>
          <w:szCs w:val="24"/>
        </w:rPr>
        <w:t>гарантирующей</w:t>
      </w:r>
      <w:r w:rsidR="001904F6" w:rsidRP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 xml:space="preserve">организации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</w:t>
      </w:r>
      <w:r w:rsidR="001904F6">
        <w:rPr>
          <w:rFonts w:ascii="Times New Roman" w:hAnsi="Times New Roman" w:cs="Times New Roman"/>
          <w:sz w:val="24"/>
          <w:szCs w:val="24"/>
        </w:rPr>
        <w:t>гарантирующей</w:t>
      </w:r>
      <w:r w:rsidR="001904F6" w:rsidRPr="00547A8A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фактически понесенных ею расходов;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547A8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547A8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7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BB0473" w:rsidRPr="00547A8A" w:rsidRDefault="00BB0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A8A" w:rsidRPr="00395356" w:rsidRDefault="00547A8A" w:rsidP="00547A8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5356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547A8A" w:rsidRPr="00395356" w:rsidRDefault="00547A8A" w:rsidP="00547A8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547A8A" w:rsidRPr="00395356" w:rsidTr="00726367">
        <w:trPr>
          <w:gridBefore w:val="1"/>
          <w:gridAfter w:val="1"/>
          <w:wBefore w:w="72" w:type="dxa"/>
          <w:wAfter w:w="72" w:type="dxa"/>
        </w:trPr>
        <w:tc>
          <w:tcPr>
            <w:tcW w:w="4608" w:type="dxa"/>
            <w:gridSpan w:val="3"/>
          </w:tcPr>
          <w:p w:rsidR="00547A8A" w:rsidRPr="00395356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09727F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395356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395356">
              <w:rPr>
                <w:rFonts w:ascii="Times New Roman" w:hAnsi="Times New Roman"/>
                <w:sz w:val="24"/>
                <w:szCs w:val="24"/>
              </w:rPr>
              <w:t xml:space="preserve">. Северодвинск, </w:t>
            </w:r>
          </w:p>
          <w:p w:rsidR="00547A8A" w:rsidRPr="00395356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ул. Ломоносова д. 43</w:t>
            </w:r>
          </w:p>
          <w:p w:rsidR="0009727F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395356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A8A" w:rsidRPr="00395356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г. Архангельск </w:t>
            </w:r>
          </w:p>
          <w:p w:rsidR="00547A8A" w:rsidRPr="00395356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547A8A" w:rsidRPr="00395356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547A8A" w:rsidRPr="00395356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547A8A" w:rsidRPr="00395356" w:rsidRDefault="00547A8A" w:rsidP="00097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547A8A" w:rsidRPr="00395356" w:rsidRDefault="00547A8A" w:rsidP="000972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547A8A" w:rsidRPr="00395356" w:rsidRDefault="00547A8A" w:rsidP="007263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A" w:rsidRPr="00395356" w:rsidTr="00726367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547A8A" w:rsidRPr="00395356" w:rsidRDefault="00547A8A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547A8A" w:rsidRPr="00395356" w:rsidRDefault="00547A8A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547A8A" w:rsidRPr="00395356" w:rsidTr="00726367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547A8A" w:rsidRPr="00395356" w:rsidRDefault="0009727F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47A8A" w:rsidRPr="0039535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47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7A8A" w:rsidRPr="0039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A8A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</w:p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547A8A" w:rsidRPr="00395356" w:rsidRDefault="00547A8A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547A8A" w:rsidRPr="00395356" w:rsidRDefault="00547A8A" w:rsidP="007263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A" w:rsidRPr="00395356" w:rsidTr="00726367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</w:tbl>
    <w:p w:rsidR="00547A8A" w:rsidRDefault="00547A8A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5356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09727F" w:rsidRDefault="0009727F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2DB" w:rsidRDefault="008252DB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0"/>
      <w:bookmarkEnd w:id="3"/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 УСЛОВИЯ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  подключения (технологического присоединения)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водоотведения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N _________________                               от "__" _________ 20__ г.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Точка  подключения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(технологического присоединения) к централизованной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(адрес, номер колодца или камеры, координаты)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8A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числе к устройствам и сооружениям для подключения (технологического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присоединения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>а   также   к  выполняемым  заказчиком  мероприятиям  для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Отметки   лотков   в   месте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>местах)  подключения  (технологического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Нормативы  по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объему  сточных  вод,  требования  к составу и свойствам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устройствам,  предназначенным  для  отбора  проб и учета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объема сточных вод ________________________________________________________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Требования по сокращению сброса сточных вод, загрязняющих веществ, иных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8A">
        <w:rPr>
          <w:rFonts w:ascii="Times New Roman" w:hAnsi="Times New Roman" w:cs="Times New Roman"/>
          <w:sz w:val="24"/>
          <w:szCs w:val="24"/>
        </w:rPr>
        <w:t>веществ  и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микроорганизмов,  которые  должны  быть учтены в плане снижения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Границы  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эксплуатационной  ответственности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по  канализационным  сетям</w:t>
      </w:r>
      <w:r w:rsidR="001904F6">
        <w:rPr>
          <w:rFonts w:ascii="Times New Roman" w:hAnsi="Times New Roman" w:cs="Times New Roman"/>
          <w:sz w:val="24"/>
          <w:szCs w:val="24"/>
        </w:rPr>
        <w:t xml:space="preserve"> гарантирующей </w:t>
      </w:r>
      <w:r w:rsidRPr="00547A8A">
        <w:rPr>
          <w:rFonts w:ascii="Times New Roman" w:hAnsi="Times New Roman" w:cs="Times New Roman"/>
          <w:sz w:val="24"/>
          <w:szCs w:val="24"/>
        </w:rPr>
        <w:t>организации и заказчика ___________</w:t>
      </w:r>
    </w:p>
    <w:p w:rsidR="00726367" w:rsidRDefault="0072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Pr="00547A8A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A8A" w:rsidRPr="00395356" w:rsidRDefault="00726367" w:rsidP="00547A8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47A8A" w:rsidRPr="00395356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547A8A" w:rsidRPr="00395356" w:rsidRDefault="00547A8A" w:rsidP="00547A8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547A8A" w:rsidRPr="00395356" w:rsidTr="00726367">
        <w:trPr>
          <w:gridBefore w:val="1"/>
          <w:gridAfter w:val="1"/>
          <w:wBefore w:w="72" w:type="dxa"/>
          <w:wAfter w:w="72" w:type="dxa"/>
        </w:trPr>
        <w:tc>
          <w:tcPr>
            <w:tcW w:w="4608" w:type="dxa"/>
            <w:gridSpan w:val="3"/>
          </w:tcPr>
          <w:p w:rsidR="00547A8A" w:rsidRPr="00395356" w:rsidRDefault="00547A8A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547A8A" w:rsidRPr="00395356" w:rsidRDefault="00547A8A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395356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395356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547A8A" w:rsidRPr="00395356" w:rsidRDefault="00547A8A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395356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 xml:space="preserve">   г. Архангельск </w:t>
            </w:r>
          </w:p>
          <w:p w:rsidR="00547A8A" w:rsidRPr="00395356" w:rsidRDefault="00547A8A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547A8A" w:rsidRPr="00395356" w:rsidRDefault="00547A8A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547A8A" w:rsidRPr="00395356" w:rsidRDefault="00547A8A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547A8A" w:rsidRPr="00395356" w:rsidRDefault="00547A8A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547A8A" w:rsidRPr="00395356" w:rsidRDefault="00547A8A" w:rsidP="0072636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547A8A" w:rsidRPr="00395356" w:rsidRDefault="00547A8A" w:rsidP="007263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A" w:rsidRPr="00395356" w:rsidTr="00726367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547A8A" w:rsidRPr="00395356" w:rsidRDefault="00547A8A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547A8A" w:rsidRPr="00395356" w:rsidRDefault="00547A8A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547A8A" w:rsidRPr="00395356" w:rsidTr="00726367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547A8A" w:rsidRPr="00395356" w:rsidRDefault="00547A8A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547A8A" w:rsidRPr="00395356" w:rsidRDefault="00547A8A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547A8A" w:rsidRPr="00395356" w:rsidRDefault="00547A8A" w:rsidP="007263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A" w:rsidRPr="00395356" w:rsidTr="00726367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547A8A" w:rsidRPr="00395356" w:rsidRDefault="00547A8A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</w:tbl>
    <w:p w:rsidR="00547A8A" w:rsidRPr="00395356" w:rsidRDefault="00547A8A" w:rsidP="00547A8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5356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Pr="00547A8A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0"/>
      <w:bookmarkEnd w:id="4"/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   ПЕРЕЧЕНЬ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A8A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7A8A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BB0473" w:rsidRDefault="00BB0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3119"/>
        <w:gridCol w:w="2928"/>
      </w:tblGrid>
      <w:tr w:rsidR="00D113B3" w:rsidRPr="008252DB" w:rsidTr="008252DB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D113B3" w:rsidRPr="008252DB" w:rsidTr="008252DB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13B3" w:rsidRPr="008252DB" w:rsidTr="008252DB"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Мероприятия гарантирующей организации  </w:t>
            </w:r>
          </w:p>
        </w:tc>
      </w:tr>
      <w:tr w:rsidR="00D113B3" w:rsidRPr="008252DB" w:rsidTr="008252DB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централизованной системы водоотведения к подключению объекта заказчика.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1.Проведение </w:t>
            </w:r>
            <w:proofErr w:type="gramStart"/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мероприятий,  направленные</w:t>
            </w:r>
            <w:proofErr w:type="gramEnd"/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увеличение мощности существующих сетей и объектов.</w:t>
            </w:r>
          </w:p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2.Проверка выполнения заказчиком технических условий.</w:t>
            </w:r>
          </w:p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3.Осуществить действия по подготовке централизованной системы водоотведения к подключению.</w:t>
            </w:r>
          </w:p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4.Участие в приёмке работ по укладке канализационных сетей от объекта до точки подключения.</w:t>
            </w:r>
          </w:p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5.Установление пломб на приборах учёта (узлах учёта).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13B3" w:rsidRPr="008252DB" w:rsidTr="008252DB"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заказчика</w:t>
            </w:r>
          </w:p>
        </w:tc>
      </w:tr>
      <w:tr w:rsidR="00D113B3" w:rsidRPr="008252DB" w:rsidTr="008252DB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водоотведения и сбросу сточных вод.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1.Выполнить технические условия.</w:t>
            </w:r>
          </w:p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2.Осуществить строительство внутридомовых и внутриплощадочных сетей и оборудования объекта</w:t>
            </w:r>
          </w:p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3.Представить гарантирующей организации  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      </w:r>
          </w:p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2DB">
              <w:rPr>
                <w:rFonts w:ascii="Times New Roman" w:eastAsia="Calibri" w:hAnsi="Times New Roman" w:cs="Times New Roman"/>
                <w:sz w:val="20"/>
                <w:szCs w:val="20"/>
              </w:rPr>
              <w:t>4.Обеспечить доступ гарантирующей организации   для проверки выполнения технических условий подключения (технологического присоединения) и установления пломб на приборах учёта (узлах учёта).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3" w:rsidRPr="008252DB" w:rsidRDefault="00D113B3" w:rsidP="00D1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113B3" w:rsidRDefault="00D11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367" w:rsidRPr="00395356" w:rsidRDefault="003546CB" w:rsidP="007263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26367" w:rsidRPr="00395356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726367" w:rsidRPr="00395356" w:rsidRDefault="00726367" w:rsidP="007263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726367" w:rsidRPr="00395356" w:rsidTr="00726367">
        <w:trPr>
          <w:gridBefore w:val="1"/>
          <w:gridAfter w:val="1"/>
          <w:wBefore w:w="72" w:type="dxa"/>
          <w:wAfter w:w="72" w:type="dxa"/>
        </w:trPr>
        <w:tc>
          <w:tcPr>
            <w:tcW w:w="4608" w:type="dxa"/>
            <w:gridSpan w:val="3"/>
          </w:tcPr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395356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395356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395356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 xml:space="preserve">   г. Архангельск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726367" w:rsidRPr="00395356" w:rsidRDefault="00726367" w:rsidP="0072636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726367" w:rsidRPr="00395356" w:rsidRDefault="00726367" w:rsidP="007263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</w:tbl>
    <w:p w:rsidR="00726367" w:rsidRPr="00395356" w:rsidRDefault="00726367" w:rsidP="0072636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5356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Pr="00547A8A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о готовности внутриплощадочных и (или) внутридомовых сетей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 и оборудования</w:t>
      </w:r>
    </w:p>
    <w:p w:rsidR="00BB0473" w:rsidRPr="00547A8A" w:rsidRDefault="00354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BB0473" w:rsidRPr="00547A8A" w:rsidRDefault="00BB0473" w:rsidP="00D113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113B3">
        <w:rPr>
          <w:rFonts w:ascii="Times New Roman" w:hAnsi="Times New Roman" w:cs="Times New Roman"/>
          <w:sz w:val="24"/>
          <w:szCs w:val="24"/>
        </w:rPr>
        <w:t>гарантирующей организацией</w:t>
      </w:r>
      <w:r w:rsidRPr="00547A8A">
        <w:rPr>
          <w:rFonts w:ascii="Times New Roman" w:hAnsi="Times New Roman" w:cs="Times New Roman"/>
          <w:sz w:val="24"/>
          <w:szCs w:val="24"/>
        </w:rPr>
        <w:t>, в лице ________________________________</w:t>
      </w:r>
      <w:r w:rsidR="00D113B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47A8A">
        <w:rPr>
          <w:rFonts w:ascii="Times New Roman" w:hAnsi="Times New Roman" w:cs="Times New Roman"/>
          <w:sz w:val="24"/>
          <w:szCs w:val="24"/>
        </w:rPr>
        <w:t>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13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      (должность, фамилия, имя, отчество)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- указать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нужное, реквизиты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заказчика)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(должность, фамилия,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имя, отчество)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(положение, устав, доверенность - указать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нужное, реквизиты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с другой стороны, именуемые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сторонами,  составили  настоящий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акт   о  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 xml:space="preserve">том,   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>что   мероприятия  по  подготовке  внутридомовых  и  (или)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внутриплощадочных сетей и оборудования объекта 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водоотведение, объект централизованной системы водоотведения -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указать нужное)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  подключению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>технологическому   присоединению)   к   централизованной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8A">
        <w:rPr>
          <w:rFonts w:ascii="Times New Roman" w:hAnsi="Times New Roman" w:cs="Times New Roman"/>
          <w:sz w:val="24"/>
          <w:szCs w:val="24"/>
        </w:rPr>
        <w:t>системе  водоотведения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проведены в полном объеме в порядке и сроки, которые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8A">
        <w:rPr>
          <w:rFonts w:ascii="Times New Roman" w:hAnsi="Times New Roman" w:cs="Times New Roman"/>
          <w:sz w:val="24"/>
          <w:szCs w:val="24"/>
        </w:rPr>
        <w:t>предусмотрены  договором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о  подключении  (технологическом присоединении) к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 от "__" _________ 20__ г. N _______.</w:t>
      </w:r>
    </w:p>
    <w:p w:rsidR="00BB0473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367" w:rsidRDefault="00726367" w:rsidP="007263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95356">
        <w:rPr>
          <w:rFonts w:ascii="Times New Roman" w:hAnsi="Times New Roman" w:cs="Times New Roman"/>
          <w:sz w:val="24"/>
          <w:szCs w:val="24"/>
        </w:rPr>
        <w:lastRenderedPageBreak/>
        <w:t>Гарантирующая организация                                                               Заказчик</w:t>
      </w:r>
    </w:p>
    <w:p w:rsidR="00726367" w:rsidRPr="00395356" w:rsidRDefault="00726367" w:rsidP="007263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726367" w:rsidRPr="00395356" w:rsidTr="00726367">
        <w:trPr>
          <w:gridBefore w:val="1"/>
          <w:gridAfter w:val="1"/>
          <w:wBefore w:w="72" w:type="dxa"/>
          <w:wAfter w:w="72" w:type="dxa"/>
        </w:trPr>
        <w:tc>
          <w:tcPr>
            <w:tcW w:w="4608" w:type="dxa"/>
            <w:gridSpan w:val="3"/>
          </w:tcPr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395356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395356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395356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 xml:space="preserve">   г. Архангельск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726367" w:rsidRPr="00395356" w:rsidRDefault="00726367" w:rsidP="0072636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726367" w:rsidRPr="00395356" w:rsidRDefault="00726367" w:rsidP="007263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</w:tbl>
    <w:p w:rsidR="00726367" w:rsidRPr="00395356" w:rsidRDefault="00726367" w:rsidP="0072636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5356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BB0473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3"/>
      <w:bookmarkEnd w:id="6"/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7A8A">
        <w:rPr>
          <w:rFonts w:ascii="Times New Roman" w:hAnsi="Times New Roman" w:cs="Times New Roman"/>
          <w:sz w:val="24"/>
          <w:szCs w:val="24"/>
        </w:rPr>
        <w:t>РАЗМЕР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7A8A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46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водоотведения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D113B3" w:rsidP="00D113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0473" w:rsidRPr="00547A8A">
        <w:rPr>
          <w:rFonts w:ascii="Times New Roman" w:hAnsi="Times New Roman" w:cs="Times New Roman"/>
          <w:sz w:val="24"/>
          <w:szCs w:val="24"/>
        </w:rPr>
        <w:t>ля осуществления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473" w:rsidRPr="00547A8A">
        <w:rPr>
          <w:rFonts w:ascii="Times New Roman" w:hAnsi="Times New Roman" w:cs="Times New Roman"/>
          <w:sz w:val="24"/>
          <w:szCs w:val="24"/>
        </w:rPr>
        <w:t xml:space="preserve">присоединения) объектов заказчика </w:t>
      </w:r>
      <w:r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="00BB0473" w:rsidRPr="00547A8A">
        <w:rPr>
          <w:rFonts w:ascii="Times New Roman" w:hAnsi="Times New Roman" w:cs="Times New Roman"/>
          <w:sz w:val="24"/>
          <w:szCs w:val="24"/>
        </w:rPr>
        <w:t>организации необходимо провести мероприятия,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473" w:rsidRPr="00547A8A">
        <w:rPr>
          <w:rFonts w:ascii="Times New Roman" w:hAnsi="Times New Roman" w:cs="Times New Roman"/>
          <w:sz w:val="24"/>
          <w:szCs w:val="24"/>
        </w:rPr>
        <w:t>увеличение мощности централизованной системы водоотведения, плата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473" w:rsidRPr="00547A8A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по настоящему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473" w:rsidRPr="00547A8A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Агентства по тарифам и ценам Архангельской </w:t>
      </w:r>
      <w:r w:rsidRPr="000643EE">
        <w:rPr>
          <w:rFonts w:ascii="Times New Roman" w:hAnsi="Times New Roman" w:cs="Times New Roman"/>
          <w:sz w:val="24"/>
          <w:szCs w:val="24"/>
        </w:rPr>
        <w:t>области от 17.12.201</w:t>
      </w:r>
      <w:r w:rsidR="000643EE" w:rsidRPr="000643EE">
        <w:rPr>
          <w:rFonts w:ascii="Times New Roman" w:hAnsi="Times New Roman" w:cs="Times New Roman"/>
          <w:sz w:val="24"/>
          <w:szCs w:val="24"/>
        </w:rPr>
        <w:t xml:space="preserve">5 </w:t>
      </w:r>
      <w:r w:rsidRPr="000643EE">
        <w:rPr>
          <w:rFonts w:ascii="Times New Roman" w:hAnsi="Times New Roman" w:cs="Times New Roman"/>
          <w:sz w:val="24"/>
          <w:szCs w:val="24"/>
        </w:rPr>
        <w:t xml:space="preserve">г № 76-в/6 </w:t>
      </w:r>
      <w:r w:rsidR="00BB0473" w:rsidRPr="000643EE">
        <w:rPr>
          <w:rFonts w:ascii="Times New Roman" w:hAnsi="Times New Roman" w:cs="Times New Roman"/>
          <w:sz w:val="24"/>
          <w:szCs w:val="24"/>
        </w:rPr>
        <w:t>составляет ____________________________ (_________________________________)</w:t>
      </w:r>
      <w:bookmarkStart w:id="7" w:name="_GoBack"/>
      <w:bookmarkEnd w:id="7"/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 рублей.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367" w:rsidRPr="00395356" w:rsidRDefault="00726367" w:rsidP="007263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356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726367" w:rsidRPr="00395356" w:rsidRDefault="00726367" w:rsidP="007263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726367" w:rsidRPr="00395356" w:rsidTr="00726367">
        <w:trPr>
          <w:gridBefore w:val="1"/>
          <w:gridAfter w:val="1"/>
          <w:wBefore w:w="72" w:type="dxa"/>
          <w:wAfter w:w="72" w:type="dxa"/>
        </w:trPr>
        <w:tc>
          <w:tcPr>
            <w:tcW w:w="4608" w:type="dxa"/>
            <w:gridSpan w:val="3"/>
          </w:tcPr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395356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395356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395356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 xml:space="preserve">   г. Архангельск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726367" w:rsidRPr="00395356" w:rsidRDefault="00726367" w:rsidP="0072636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726367" w:rsidRPr="00395356" w:rsidRDefault="00726367" w:rsidP="007263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</w:tbl>
    <w:p w:rsidR="00726367" w:rsidRPr="00395356" w:rsidRDefault="00726367" w:rsidP="0072636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5356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367" w:rsidRDefault="00726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367" w:rsidRDefault="00726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367" w:rsidRDefault="00726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72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96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0473"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63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    о подключении (технологическом присоединении)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63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7A8A">
        <w:rPr>
          <w:rFonts w:ascii="Times New Roman" w:hAnsi="Times New Roman" w:cs="Times New Roman"/>
          <w:sz w:val="24"/>
          <w:szCs w:val="24"/>
        </w:rPr>
        <w:t xml:space="preserve">      к централизованной системе водоотведения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113B3">
        <w:rPr>
          <w:rFonts w:ascii="Times New Roman" w:hAnsi="Times New Roman" w:cs="Times New Roman"/>
          <w:sz w:val="24"/>
          <w:szCs w:val="24"/>
        </w:rPr>
        <w:t>гарантирующей организацией</w:t>
      </w:r>
      <w:r w:rsidRPr="00547A8A">
        <w:rPr>
          <w:rFonts w:ascii="Times New Roman" w:hAnsi="Times New Roman" w:cs="Times New Roman"/>
          <w:sz w:val="24"/>
          <w:szCs w:val="24"/>
        </w:rPr>
        <w:t>, в лице ________________________________________________________,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(должность, фамилия, имя, отчество)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реквизиты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заказчика)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именуемое в дальнейшем заказчик, в лице 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фамилия, имя, отчество)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реквизиты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акт   о   том,   что </w:t>
      </w:r>
      <w:r w:rsidR="00D113B3">
        <w:rPr>
          <w:rFonts w:ascii="Times New Roman" w:hAnsi="Times New Roman" w:cs="Times New Roman"/>
          <w:sz w:val="24"/>
          <w:szCs w:val="24"/>
        </w:rPr>
        <w:t xml:space="preserve">гарантирующая организация </w:t>
      </w:r>
      <w:r w:rsidRPr="00547A8A">
        <w:rPr>
          <w:rFonts w:ascii="Times New Roman" w:hAnsi="Times New Roman" w:cs="Times New Roman"/>
          <w:sz w:val="24"/>
          <w:szCs w:val="24"/>
        </w:rPr>
        <w:t xml:space="preserve">выполнила мероприятия, предусмотренные </w:t>
      </w:r>
      <w:hyperlink r:id="rId8" w:history="1">
        <w:r w:rsidRPr="00547A8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7A8A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  <w:r w:rsidR="00D113B3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D113B3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Федерации  от  29  июля  2013  г.  N 644 "Об утверждении Правил холодного</w:t>
      </w:r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водоснабжения и водоотведения и о внесении изменений в некоторые акты</w:t>
      </w:r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Правительства Российской Федерации", договором о подключении</w:t>
      </w:r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(технологическом присоединении) к централизованной системе водоотведения</w:t>
      </w:r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от "__" ___</w:t>
      </w:r>
      <w:r w:rsidR="00365D35">
        <w:rPr>
          <w:rFonts w:ascii="Times New Roman" w:hAnsi="Times New Roman" w:cs="Times New Roman"/>
          <w:sz w:val="24"/>
          <w:szCs w:val="24"/>
        </w:rPr>
        <w:t xml:space="preserve">________ 20__ г. N </w:t>
      </w:r>
      <w:r w:rsidRPr="00547A8A">
        <w:rPr>
          <w:rFonts w:ascii="Times New Roman" w:hAnsi="Times New Roman" w:cs="Times New Roman"/>
          <w:sz w:val="24"/>
          <w:szCs w:val="24"/>
        </w:rPr>
        <w:t>____, а именно осуществила фактическое</w:t>
      </w:r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подключение объекта _______________________________________________________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(объект капитального строительства, на котором</w:t>
      </w:r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предусматривается водоотведение, объект</w:t>
      </w:r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 -</w:t>
      </w:r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указать нужное)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заказчика   к    централизованной    системе    водоотведения   </w:t>
      </w:r>
      <w:r w:rsidR="00365D35">
        <w:rPr>
          <w:rFonts w:ascii="Times New Roman" w:hAnsi="Times New Roman" w:cs="Times New Roman"/>
          <w:sz w:val="24"/>
          <w:szCs w:val="24"/>
        </w:rPr>
        <w:t>гарантирующей организации</w:t>
      </w:r>
      <w:r w:rsidRPr="00547A8A">
        <w:rPr>
          <w:rFonts w:ascii="Times New Roman" w:hAnsi="Times New Roman" w:cs="Times New Roman"/>
          <w:sz w:val="24"/>
          <w:szCs w:val="24"/>
        </w:rPr>
        <w:t>.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1. _____________________________________.</w:t>
      </w:r>
    </w:p>
    <w:p w:rsidR="00BB0473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DB" w:rsidRPr="00547A8A" w:rsidRDefault="00825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367" w:rsidRPr="00395356" w:rsidRDefault="008252DB" w:rsidP="007263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26367" w:rsidRPr="00395356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726367" w:rsidRPr="00395356" w:rsidRDefault="00726367" w:rsidP="007263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726367" w:rsidRPr="00395356" w:rsidTr="00726367">
        <w:trPr>
          <w:gridBefore w:val="1"/>
          <w:gridAfter w:val="1"/>
          <w:wBefore w:w="72" w:type="dxa"/>
          <w:wAfter w:w="72" w:type="dxa"/>
        </w:trPr>
        <w:tc>
          <w:tcPr>
            <w:tcW w:w="4608" w:type="dxa"/>
            <w:gridSpan w:val="3"/>
          </w:tcPr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395356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395356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395356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 xml:space="preserve">   г. Архангельск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726367" w:rsidRPr="00395356" w:rsidRDefault="00726367" w:rsidP="00726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726367" w:rsidRPr="00395356" w:rsidRDefault="00726367" w:rsidP="0072636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726367" w:rsidRPr="00395356" w:rsidRDefault="00726367" w:rsidP="007263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726367" w:rsidRPr="00395356" w:rsidRDefault="00726367" w:rsidP="00726367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67" w:rsidRPr="00395356" w:rsidTr="00726367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726367" w:rsidRPr="00395356" w:rsidRDefault="00726367" w:rsidP="007263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</w:tbl>
    <w:p w:rsidR="00726367" w:rsidRPr="00395356" w:rsidRDefault="00726367" w:rsidP="0072636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5356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BB0473" w:rsidRPr="00547A8A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Default="00BB0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2DB" w:rsidRPr="00547A8A" w:rsidRDefault="008252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367" w:rsidRPr="00547A8A" w:rsidRDefault="00726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473" w:rsidRPr="00547A8A" w:rsidRDefault="00BB04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BB0473" w:rsidRPr="00547A8A" w:rsidRDefault="00B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62"/>
      <w:bookmarkEnd w:id="9"/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о разграничении балансовой принадлежности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365D35">
        <w:rPr>
          <w:rFonts w:ascii="Times New Roman" w:hAnsi="Times New Roman" w:cs="Times New Roman"/>
          <w:sz w:val="24"/>
          <w:szCs w:val="24"/>
        </w:rPr>
        <w:t>гарантирующей</w:t>
      </w:r>
      <w:r w:rsidRPr="00547A8A">
        <w:rPr>
          <w:rFonts w:ascii="Times New Roman" w:hAnsi="Times New Roman" w:cs="Times New Roman"/>
          <w:sz w:val="24"/>
          <w:szCs w:val="24"/>
        </w:rPr>
        <w:t xml:space="preserve"> организацией, в лице ________________________________________________________,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(должность, фамилия, имя, отчество)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- указать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нужное, реквизиты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заказчика)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фамилия,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имя, отчество)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нужное,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                                       реквизиты документа)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акт   о   </w:t>
      </w:r>
      <w:proofErr w:type="gramStart"/>
      <w:r w:rsidRPr="00547A8A">
        <w:rPr>
          <w:rFonts w:ascii="Times New Roman" w:hAnsi="Times New Roman" w:cs="Times New Roman"/>
          <w:sz w:val="24"/>
          <w:szCs w:val="24"/>
        </w:rPr>
        <w:t>том,  что</w:t>
      </w:r>
      <w:proofErr w:type="gramEnd"/>
      <w:r w:rsidRPr="00547A8A">
        <w:rPr>
          <w:rFonts w:ascii="Times New Roman" w:hAnsi="Times New Roman" w:cs="Times New Roman"/>
          <w:sz w:val="24"/>
          <w:szCs w:val="24"/>
        </w:rPr>
        <w:t xml:space="preserve">   границей  раздела  балансовой  принадлежности  сетей</w:t>
      </w:r>
    </w:p>
    <w:p w:rsidR="00BB0473" w:rsidRPr="00547A8A" w:rsidRDefault="00BB0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t xml:space="preserve">водоотведения централизованной системы водоотведения </w:t>
      </w:r>
      <w:proofErr w:type="gramStart"/>
      <w:r w:rsidR="00365D35">
        <w:rPr>
          <w:rFonts w:ascii="Times New Roman" w:hAnsi="Times New Roman" w:cs="Times New Roman"/>
          <w:sz w:val="24"/>
          <w:szCs w:val="24"/>
        </w:rPr>
        <w:t>гарантирующей</w:t>
      </w:r>
      <w:r w:rsidRPr="00547A8A">
        <w:rPr>
          <w:rFonts w:ascii="Times New Roman" w:hAnsi="Times New Roman" w:cs="Times New Roman"/>
          <w:sz w:val="24"/>
          <w:szCs w:val="24"/>
        </w:rPr>
        <w:t xml:space="preserve">  организации</w:t>
      </w:r>
      <w:proofErr w:type="gramEnd"/>
      <w:r w:rsidR="00365D35">
        <w:rPr>
          <w:rFonts w:ascii="Times New Roman" w:hAnsi="Times New Roman" w:cs="Times New Roman"/>
          <w:sz w:val="24"/>
          <w:szCs w:val="24"/>
        </w:rPr>
        <w:t xml:space="preserve"> </w:t>
      </w:r>
      <w:r w:rsidRPr="00547A8A">
        <w:rPr>
          <w:rFonts w:ascii="Times New Roman" w:hAnsi="Times New Roman" w:cs="Times New Roman"/>
          <w:sz w:val="24"/>
          <w:szCs w:val="24"/>
        </w:rPr>
        <w:t>и заказчика является:____________________________________________________________</w:t>
      </w:r>
    </w:p>
    <w:p w:rsidR="003546CB" w:rsidRPr="00395356" w:rsidRDefault="00BB0473" w:rsidP="003546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47A8A">
        <w:rPr>
          <w:rFonts w:ascii="Times New Roman" w:hAnsi="Times New Roman" w:cs="Times New Roman"/>
          <w:sz w:val="24"/>
          <w:szCs w:val="24"/>
        </w:rPr>
        <w:br/>
      </w:r>
      <w:r w:rsidR="003546CB">
        <w:rPr>
          <w:rFonts w:ascii="Times New Roman" w:hAnsi="Times New Roman" w:cs="Times New Roman"/>
          <w:sz w:val="24"/>
          <w:szCs w:val="24"/>
        </w:rPr>
        <w:t xml:space="preserve">  </w:t>
      </w:r>
      <w:r w:rsidR="003546CB" w:rsidRPr="00395356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3546CB" w:rsidRPr="00395356" w:rsidTr="0092500D">
        <w:trPr>
          <w:gridBefore w:val="1"/>
          <w:gridAfter w:val="1"/>
          <w:wBefore w:w="72" w:type="dxa"/>
          <w:wAfter w:w="72" w:type="dxa"/>
        </w:trPr>
        <w:tc>
          <w:tcPr>
            <w:tcW w:w="4608" w:type="dxa"/>
            <w:gridSpan w:val="3"/>
          </w:tcPr>
          <w:p w:rsidR="003546CB" w:rsidRPr="00395356" w:rsidRDefault="003546CB" w:rsidP="009250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3546CB" w:rsidRPr="00395356" w:rsidRDefault="003546CB" w:rsidP="009250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395356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395356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3546CB" w:rsidRPr="00395356" w:rsidRDefault="003546CB" w:rsidP="009250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395356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 xml:space="preserve">   г. Архангельск </w:t>
            </w:r>
          </w:p>
          <w:p w:rsidR="003546CB" w:rsidRPr="00395356" w:rsidRDefault="003546CB" w:rsidP="009250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3546CB" w:rsidRPr="00395356" w:rsidRDefault="003546CB" w:rsidP="009250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3546CB" w:rsidRPr="00395356" w:rsidRDefault="003546CB" w:rsidP="009250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3546CB" w:rsidRPr="00395356" w:rsidRDefault="003546CB" w:rsidP="009250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3546CB" w:rsidRPr="00395356" w:rsidRDefault="003546CB" w:rsidP="009250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3546CB" w:rsidRPr="00395356" w:rsidRDefault="003546CB" w:rsidP="009250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CB" w:rsidRPr="00395356" w:rsidTr="0092500D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3546CB" w:rsidRPr="00395356" w:rsidRDefault="003546CB" w:rsidP="0092500D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3546CB" w:rsidRPr="00395356" w:rsidRDefault="003546CB" w:rsidP="0092500D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3546CB" w:rsidRPr="00395356" w:rsidTr="0092500D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3546CB" w:rsidRPr="00395356" w:rsidRDefault="003546CB" w:rsidP="0092500D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3546CB" w:rsidRPr="00395356" w:rsidRDefault="003546CB" w:rsidP="0092500D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3546CB" w:rsidRPr="00395356" w:rsidRDefault="003546CB" w:rsidP="009250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CB" w:rsidRPr="00395356" w:rsidTr="0092500D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3546CB" w:rsidRPr="00395356" w:rsidRDefault="003546CB" w:rsidP="0092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</w:tbl>
    <w:p w:rsidR="003546CB" w:rsidRPr="00395356" w:rsidRDefault="003546CB" w:rsidP="003546C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5356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sectPr w:rsidR="003546CB" w:rsidRPr="00395356" w:rsidSect="0072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73"/>
    <w:rsid w:val="000643EE"/>
    <w:rsid w:val="0009727F"/>
    <w:rsid w:val="00141A2D"/>
    <w:rsid w:val="00151C06"/>
    <w:rsid w:val="001904F6"/>
    <w:rsid w:val="003546CB"/>
    <w:rsid w:val="00356838"/>
    <w:rsid w:val="00365D35"/>
    <w:rsid w:val="00416213"/>
    <w:rsid w:val="00547A8A"/>
    <w:rsid w:val="00726367"/>
    <w:rsid w:val="008252DB"/>
    <w:rsid w:val="00846F47"/>
    <w:rsid w:val="008C2A62"/>
    <w:rsid w:val="0092500D"/>
    <w:rsid w:val="00BB0473"/>
    <w:rsid w:val="00D113B3"/>
    <w:rsid w:val="00D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32317D"/>
  <w15:chartTrackingRefBased/>
  <w15:docId w15:val="{B26632B4-9983-4CAE-8B7C-A0F670C7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47A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47A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547A8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81D003E2A7E50D2183172091DCADF256AA406008BC5E0AFF6C0392657FD2CF34874A36EFC8394EEe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981D003E2A7E50D2183172091DCADF256AA406008BC5E0AFF6C0392657FD2CF34874A36EFC8394EEe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81D003E2A7E50D2183172091DCADF256AA206058EC5E0AFF6C03926E5e7N" TargetMode="External"/><Relationship Id="rId5" Type="http://schemas.openxmlformats.org/officeDocument/2006/relationships/hyperlink" Target="consultantplus://offline/ref=CE981D003E2A7E50D2183172091DCADF256AA406008BC5E0AFF6C0392657FD2CF34874A36EFC8394EEe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E981D003E2A7E50D2183172091DCADF266CA40E068FC5E0AFF6C0392657FD2CF34874A36EFC8394EEe5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Лариса Алексеевна</dc:creator>
  <cp:keywords/>
  <dc:description/>
  <cp:lastModifiedBy>Павловская Лариса Алексеевна</cp:lastModifiedBy>
  <cp:revision>7</cp:revision>
  <cp:lastPrinted>2017-01-11T12:23:00Z</cp:lastPrinted>
  <dcterms:created xsi:type="dcterms:W3CDTF">2017-01-10T13:30:00Z</dcterms:created>
  <dcterms:modified xsi:type="dcterms:W3CDTF">2017-01-11T12:43:00Z</dcterms:modified>
</cp:coreProperties>
</file>